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6437BF">
        <w:rPr>
          <w:rFonts w:ascii="Arial" w:hAnsi="Arial" w:cs="Arial"/>
          <w:b/>
          <w:sz w:val="24"/>
          <w:szCs w:val="24"/>
          <w:lang w:eastAsia="ja-JP"/>
        </w:rPr>
        <w:t>2338</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35177">
        <w:rPr>
          <w:rFonts w:ascii="Arial" w:hAnsi="Arial" w:cs="Arial"/>
          <w:color w:val="FF0000"/>
          <w:lang w:eastAsia="ja-JP"/>
        </w:rPr>
        <w:t>13.3.8</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B12955" w:rsidP="001A248F">
            <w:pPr>
              <w:tabs>
                <w:tab w:val="left" w:pos="567"/>
              </w:tabs>
              <w:spacing w:after="0"/>
              <w:rPr>
                <w:rFonts w:ascii="Arial" w:hAnsi="Arial" w:cs="Arial"/>
              </w:rPr>
            </w:pPr>
            <w:r w:rsidRPr="00B12955">
              <w:rPr>
                <w:rFonts w:ascii="Arial" w:hAnsi="Arial" w:cs="Arial"/>
              </w:rPr>
              <w:t>UE Conformance Test Aspects - Enhancements for Mission Critical Services MCPTT, MCData and MCVideo</w:t>
            </w:r>
          </w:p>
        </w:tc>
      </w:tr>
      <w:tr w:rsidR="00500907" w:rsidRPr="008836AC" w:rsidTr="00871653">
        <w:tc>
          <w:tcPr>
            <w:tcW w:w="2436" w:type="dxa"/>
            <w:shd w:val="clear" w:color="auto" w:fill="auto"/>
          </w:tcPr>
          <w:p w:rsidR="00500907" w:rsidRPr="008836AC" w:rsidRDefault="00500907" w:rsidP="0050090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500907" w:rsidRPr="00B94431" w:rsidRDefault="00500907" w:rsidP="00500907">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500907" w:rsidRPr="00B94431" w:rsidRDefault="00500907" w:rsidP="00500907">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500907" w:rsidRPr="00B94431" w:rsidRDefault="00500907" w:rsidP="00500907">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500907" w:rsidRPr="00B94431" w:rsidRDefault="00500907" w:rsidP="0050090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500907" w:rsidRPr="00B94431" w:rsidRDefault="00500907" w:rsidP="00500907">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500907" w:rsidRPr="00B94431" w:rsidRDefault="00500907" w:rsidP="0050090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500907" w:rsidRPr="008836AC" w:rsidRDefault="00500907" w:rsidP="00500907">
            <w:pPr>
              <w:tabs>
                <w:tab w:val="left" w:pos="567"/>
              </w:tabs>
              <w:spacing w:after="0"/>
              <w:rPr>
                <w:rFonts w:ascii="Arial" w:hAnsi="Arial" w:cs="Arial"/>
              </w:rPr>
            </w:pPr>
            <w:r w:rsidRPr="008836AC">
              <w:rPr>
                <w:rFonts w:ascii="Arial" w:hAnsi="Arial" w:cs="Arial"/>
              </w:rPr>
              <w:t>Testing part:</w:t>
            </w:r>
          </w:p>
          <w:p w:rsidR="00500907" w:rsidRPr="008836AC" w:rsidRDefault="00500907" w:rsidP="00500907">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12955" w:rsidP="008836AC">
            <w:pPr>
              <w:tabs>
                <w:tab w:val="left" w:pos="567"/>
              </w:tabs>
              <w:spacing w:after="0"/>
              <w:rPr>
                <w:rFonts w:ascii="Arial" w:hAnsi="Arial" w:cs="Arial"/>
              </w:rPr>
            </w:pPr>
            <w:r w:rsidRPr="00B12955">
              <w:rPr>
                <w:rFonts w:ascii="Arial" w:hAnsi="Arial" w:cs="Arial"/>
              </w:rPr>
              <w:t>MCenhUEConTest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12955" w:rsidP="008836AC">
            <w:pPr>
              <w:tabs>
                <w:tab w:val="left" w:pos="567"/>
              </w:tabs>
              <w:spacing w:after="0"/>
              <w:rPr>
                <w:rFonts w:ascii="Arial" w:hAnsi="Arial" w:cs="Arial"/>
                <w:lang w:eastAsia="ja-JP"/>
              </w:rPr>
            </w:pPr>
            <w:r w:rsidRPr="00B12955">
              <w:rPr>
                <w:rFonts w:ascii="Arial" w:hAnsi="Arial" w:cs="Arial"/>
                <w:lang w:eastAsia="ja-JP"/>
              </w:rPr>
              <w:t>89004</w:t>
            </w:r>
            <w:r>
              <w:rPr>
                <w:rFonts w:ascii="Arial" w:hAnsi="Arial" w:cs="Arial"/>
                <w:lang w:eastAsia="ja-JP"/>
              </w:rPr>
              <w:t>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12955" w:rsidP="008836AC">
            <w:pPr>
              <w:tabs>
                <w:tab w:val="left" w:pos="567"/>
              </w:tabs>
              <w:spacing w:after="0"/>
              <w:rPr>
                <w:rFonts w:ascii="Arial" w:hAnsi="Arial" w:cs="Arial"/>
                <w:lang w:eastAsia="ja-JP"/>
              </w:rPr>
            </w:pPr>
            <w:r w:rsidRPr="00852648">
              <w:rPr>
                <w:rFonts w:ascii="Arial" w:hAnsi="Arial" w:cs="Arial"/>
                <w:lang w:eastAsia="ja-JP"/>
              </w:rPr>
              <w:t>RP-201487</w:t>
            </w:r>
          </w:p>
        </w:tc>
      </w:tr>
      <w:tr w:rsidR="00B12955" w:rsidRPr="008836AC" w:rsidTr="00871653">
        <w:tc>
          <w:tcPr>
            <w:tcW w:w="2436" w:type="dxa"/>
          </w:tcPr>
          <w:p w:rsidR="00B12955" w:rsidRDefault="00B12955" w:rsidP="00B12955">
            <w:pPr>
              <w:tabs>
                <w:tab w:val="left" w:pos="567"/>
              </w:tabs>
              <w:spacing w:after="0"/>
              <w:rPr>
                <w:rFonts w:ascii="Arial" w:hAnsi="Arial" w:cs="Arial"/>
                <w:b/>
              </w:rPr>
            </w:pPr>
            <w:r>
              <w:rPr>
                <w:rFonts w:ascii="Arial" w:hAnsi="Arial" w:cs="Arial"/>
                <w:b/>
              </w:rPr>
              <w:t>Target Completion Date</w:t>
            </w:r>
          </w:p>
          <w:p w:rsidR="00B12955" w:rsidRPr="008836AC" w:rsidRDefault="00B12955" w:rsidP="00B12955">
            <w:pPr>
              <w:tabs>
                <w:tab w:val="left" w:pos="567"/>
              </w:tabs>
              <w:spacing w:after="0"/>
              <w:rPr>
                <w:rFonts w:ascii="Arial" w:hAnsi="Arial" w:cs="Arial"/>
                <w:b/>
              </w:rPr>
            </w:pPr>
            <w:r>
              <w:rPr>
                <w:rFonts w:ascii="Arial" w:hAnsi="Arial" w:cs="Arial"/>
                <w:b/>
              </w:rPr>
              <w:t>(indicate if changed)</w:t>
            </w:r>
          </w:p>
        </w:tc>
        <w:tc>
          <w:tcPr>
            <w:tcW w:w="1846" w:type="dxa"/>
          </w:tcPr>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B12955" w:rsidRPr="006A7BCB" w:rsidRDefault="00B12955" w:rsidP="00B1295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12</w:t>
            </w:r>
            <w:r w:rsidRPr="001F486F">
              <w:rPr>
                <w:rFonts w:ascii="Arial" w:hAnsi="Arial" w:cs="Arial"/>
                <w:color w:val="FF0000"/>
                <w:lang w:eastAsia="ja-JP"/>
              </w:rPr>
              <w:t>/</w:t>
            </w:r>
            <w:r>
              <w:rPr>
                <w:rFonts w:ascii="Arial" w:hAnsi="Arial" w:cs="Arial"/>
                <w:color w:val="FF0000"/>
                <w:lang w:eastAsia="ja-JP"/>
              </w:rPr>
              <w:t>2021</w:t>
            </w:r>
          </w:p>
        </w:tc>
      </w:tr>
      <w:tr w:rsidR="00B12955" w:rsidRPr="008836AC" w:rsidTr="00871653">
        <w:tc>
          <w:tcPr>
            <w:tcW w:w="2436" w:type="dxa"/>
          </w:tcPr>
          <w:p w:rsidR="00B12955" w:rsidRDefault="00B12955" w:rsidP="00B12955">
            <w:pPr>
              <w:tabs>
                <w:tab w:val="left" w:pos="567"/>
              </w:tabs>
              <w:spacing w:after="0"/>
              <w:rPr>
                <w:rFonts w:ascii="Arial" w:hAnsi="Arial" w:cs="Arial"/>
                <w:b/>
              </w:rPr>
            </w:pPr>
            <w:r>
              <w:rPr>
                <w:rFonts w:ascii="Arial" w:hAnsi="Arial" w:cs="Arial"/>
                <w:b/>
              </w:rPr>
              <w:t>Overall Completion level</w:t>
            </w:r>
          </w:p>
        </w:tc>
        <w:tc>
          <w:tcPr>
            <w:tcW w:w="1846" w:type="dxa"/>
          </w:tcPr>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B12955" w:rsidRPr="006A7BCB" w:rsidRDefault="00B12955" w:rsidP="00B1295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557D0">
              <w:rPr>
                <w:rFonts w:ascii="Arial" w:hAnsi="Arial" w:cs="Arial"/>
                <w:color w:val="00B050"/>
                <w:lang w:eastAsia="ja-JP"/>
              </w:rPr>
              <w:t>1</w:t>
            </w:r>
            <w:r>
              <w:rPr>
                <w:rFonts w:ascii="Arial" w:hAnsi="Arial" w:cs="Arial"/>
                <w:color w:val="00B050"/>
                <w:lang w:eastAsia="ja-JP"/>
              </w:rPr>
              <w:t>4</w:t>
            </w:r>
            <w:r w:rsidRPr="006557D0">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12955" w:rsidRPr="008836AC" w:rsidTr="00CE35ED">
        <w:tc>
          <w:tcPr>
            <w:tcW w:w="2750" w:type="dxa"/>
            <w:gridSpan w:val="2"/>
          </w:tcPr>
          <w:p w:rsidR="00B12955" w:rsidRPr="006557D0" w:rsidRDefault="00B12955" w:rsidP="00CE35ED">
            <w:pPr>
              <w:tabs>
                <w:tab w:val="left" w:pos="567"/>
              </w:tabs>
              <w:spacing w:after="0"/>
              <w:rPr>
                <w:rFonts w:ascii="Arial" w:hAnsi="Arial" w:cs="Arial"/>
                <w:b/>
              </w:rPr>
            </w:pPr>
            <w:r w:rsidRPr="006557D0">
              <w:rPr>
                <w:rFonts w:ascii="Arial" w:hAnsi="Arial" w:cs="Arial"/>
                <w:b/>
              </w:rPr>
              <w:t>Leading WG</w:t>
            </w:r>
          </w:p>
        </w:tc>
        <w:tc>
          <w:tcPr>
            <w:tcW w:w="7336" w:type="dxa"/>
          </w:tcPr>
          <w:p w:rsidR="00B12955" w:rsidRPr="006557D0" w:rsidRDefault="00B12955" w:rsidP="00CE35ED">
            <w:pPr>
              <w:tabs>
                <w:tab w:val="left" w:pos="567"/>
              </w:tabs>
              <w:spacing w:after="0"/>
              <w:rPr>
                <w:rFonts w:ascii="Arial" w:hAnsi="Arial" w:cs="Arial"/>
              </w:rPr>
            </w:pPr>
            <w:r w:rsidRPr="006557D0">
              <w:rPr>
                <w:rFonts w:ascii="Arial" w:hAnsi="Arial" w:cs="Arial"/>
              </w:rPr>
              <w:t>TSG RAN WG5</w:t>
            </w:r>
          </w:p>
        </w:tc>
      </w:tr>
      <w:tr w:rsidR="00B12955" w:rsidRPr="008836AC" w:rsidTr="00CE35ED">
        <w:tc>
          <w:tcPr>
            <w:tcW w:w="1415" w:type="dxa"/>
            <w:vMerge w:val="restart"/>
            <w:vAlign w:val="center"/>
          </w:tcPr>
          <w:p w:rsidR="00B12955" w:rsidRPr="006557D0" w:rsidRDefault="00B12955" w:rsidP="00CE35ED">
            <w:pPr>
              <w:tabs>
                <w:tab w:val="left" w:pos="567"/>
              </w:tabs>
              <w:rPr>
                <w:rFonts w:ascii="Arial" w:hAnsi="Arial" w:cs="Arial"/>
                <w:b/>
              </w:rPr>
            </w:pPr>
            <w:r w:rsidRPr="006557D0">
              <w:rPr>
                <w:rFonts w:ascii="Arial" w:hAnsi="Arial" w:cs="Arial"/>
                <w:b/>
              </w:rPr>
              <w:t>Rapporteur</w:t>
            </w:r>
          </w:p>
        </w:tc>
        <w:tc>
          <w:tcPr>
            <w:tcW w:w="1335" w:type="dxa"/>
          </w:tcPr>
          <w:p w:rsidR="00B12955" w:rsidRPr="006557D0" w:rsidRDefault="00B12955" w:rsidP="00CE35ED">
            <w:pPr>
              <w:tabs>
                <w:tab w:val="left" w:pos="567"/>
              </w:tabs>
              <w:spacing w:after="0"/>
              <w:rPr>
                <w:rFonts w:ascii="Arial" w:hAnsi="Arial" w:cs="Arial"/>
                <w:b/>
              </w:rPr>
            </w:pPr>
            <w:r w:rsidRPr="006557D0">
              <w:rPr>
                <w:rFonts w:ascii="Arial" w:hAnsi="Arial" w:cs="Arial"/>
                <w:b/>
              </w:rPr>
              <w:t>Name</w:t>
            </w:r>
          </w:p>
        </w:tc>
        <w:tc>
          <w:tcPr>
            <w:tcW w:w="7336" w:type="dxa"/>
          </w:tcPr>
          <w:p w:rsidR="00B12955" w:rsidRPr="006557D0" w:rsidRDefault="00B12955" w:rsidP="00CE35ED">
            <w:pPr>
              <w:tabs>
                <w:tab w:val="left" w:pos="567"/>
              </w:tabs>
              <w:spacing w:after="0"/>
              <w:rPr>
                <w:rFonts w:ascii="Arial" w:hAnsi="Arial" w:cs="Arial"/>
              </w:rPr>
            </w:pPr>
            <w:r w:rsidRPr="006557D0">
              <w:rPr>
                <w:rFonts w:ascii="Arial" w:hAnsi="Arial" w:cs="Arial"/>
              </w:rPr>
              <w:t>KAHN, Jason</w:t>
            </w:r>
          </w:p>
        </w:tc>
      </w:tr>
      <w:tr w:rsidR="00B12955" w:rsidRPr="008836AC" w:rsidTr="00CE35ED">
        <w:tc>
          <w:tcPr>
            <w:tcW w:w="1415" w:type="dxa"/>
            <w:vMerge/>
          </w:tcPr>
          <w:p w:rsidR="00B12955" w:rsidRPr="006557D0" w:rsidRDefault="00B12955" w:rsidP="00CE35ED">
            <w:pPr>
              <w:tabs>
                <w:tab w:val="left" w:pos="567"/>
              </w:tabs>
              <w:rPr>
                <w:rFonts w:ascii="Arial" w:hAnsi="Arial" w:cs="Arial"/>
                <w:b/>
              </w:rPr>
            </w:pPr>
          </w:p>
        </w:tc>
        <w:tc>
          <w:tcPr>
            <w:tcW w:w="1335" w:type="dxa"/>
          </w:tcPr>
          <w:p w:rsidR="00B12955" w:rsidRPr="006557D0" w:rsidRDefault="00B12955" w:rsidP="00CE35ED">
            <w:pPr>
              <w:tabs>
                <w:tab w:val="left" w:pos="567"/>
              </w:tabs>
              <w:spacing w:after="0"/>
              <w:rPr>
                <w:rFonts w:ascii="Arial" w:hAnsi="Arial" w:cs="Arial"/>
                <w:b/>
              </w:rPr>
            </w:pPr>
            <w:r w:rsidRPr="006557D0">
              <w:rPr>
                <w:rFonts w:ascii="Arial" w:hAnsi="Arial" w:cs="Arial"/>
                <w:b/>
              </w:rPr>
              <w:t>Company</w:t>
            </w:r>
          </w:p>
        </w:tc>
        <w:tc>
          <w:tcPr>
            <w:tcW w:w="7336" w:type="dxa"/>
          </w:tcPr>
          <w:p w:rsidR="00B12955" w:rsidRPr="006557D0" w:rsidRDefault="00B12955" w:rsidP="00CE35ED">
            <w:pPr>
              <w:tabs>
                <w:tab w:val="left" w:pos="567"/>
              </w:tabs>
              <w:spacing w:after="0"/>
              <w:rPr>
                <w:rFonts w:ascii="Arial" w:hAnsi="Arial" w:cs="Arial"/>
              </w:rPr>
            </w:pPr>
            <w:r w:rsidRPr="006557D0">
              <w:rPr>
                <w:rFonts w:ascii="Arial" w:hAnsi="Arial" w:cs="Arial"/>
              </w:rPr>
              <w:t>NIST (U.S. Department of Commerce)</w:t>
            </w:r>
          </w:p>
        </w:tc>
      </w:tr>
      <w:tr w:rsidR="00B12955" w:rsidRPr="008836AC" w:rsidTr="00CE35ED">
        <w:tc>
          <w:tcPr>
            <w:tcW w:w="1415" w:type="dxa"/>
            <w:vMerge/>
          </w:tcPr>
          <w:p w:rsidR="00B12955" w:rsidRPr="006557D0" w:rsidRDefault="00B12955" w:rsidP="00CE35ED">
            <w:pPr>
              <w:tabs>
                <w:tab w:val="left" w:pos="567"/>
              </w:tabs>
              <w:rPr>
                <w:rFonts w:ascii="Arial" w:hAnsi="Arial" w:cs="Arial"/>
                <w:b/>
              </w:rPr>
            </w:pPr>
          </w:p>
        </w:tc>
        <w:tc>
          <w:tcPr>
            <w:tcW w:w="1335" w:type="dxa"/>
          </w:tcPr>
          <w:p w:rsidR="00B12955" w:rsidRPr="006557D0" w:rsidRDefault="00B12955" w:rsidP="00CE35ED">
            <w:pPr>
              <w:tabs>
                <w:tab w:val="left" w:pos="567"/>
              </w:tabs>
              <w:spacing w:after="0"/>
              <w:rPr>
                <w:rFonts w:ascii="Arial" w:hAnsi="Arial" w:cs="Arial"/>
                <w:b/>
              </w:rPr>
            </w:pPr>
            <w:r w:rsidRPr="006557D0">
              <w:rPr>
                <w:rFonts w:ascii="Arial" w:hAnsi="Arial" w:cs="Arial"/>
                <w:b/>
              </w:rPr>
              <w:t>Email</w:t>
            </w:r>
          </w:p>
        </w:tc>
        <w:tc>
          <w:tcPr>
            <w:tcW w:w="7336" w:type="dxa"/>
          </w:tcPr>
          <w:p w:rsidR="00B12955" w:rsidRPr="006557D0" w:rsidRDefault="00B12955" w:rsidP="00CE35ED">
            <w:pPr>
              <w:tabs>
                <w:tab w:val="left" w:pos="567"/>
              </w:tabs>
              <w:spacing w:after="0"/>
              <w:rPr>
                <w:rFonts w:ascii="Arial" w:hAnsi="Arial" w:cs="Arial"/>
              </w:rPr>
            </w:pPr>
            <w:r w:rsidRPr="006557D0">
              <w:rPr>
                <w:rFonts w:ascii="Arial" w:hAnsi="Arial" w:cs="Arial"/>
              </w:rPr>
              <w:t>jason.kahn@nist.gov</w:t>
            </w:r>
          </w:p>
        </w:tc>
      </w:tr>
    </w:tbl>
    <w:p w:rsidR="00B12955" w:rsidRDefault="00B12955" w:rsidP="000D17BC">
      <w:pPr>
        <w:tabs>
          <w:tab w:val="left" w:pos="567"/>
        </w:tabs>
        <w:spacing w:after="60"/>
        <w:rPr>
          <w:rFonts w:ascii="Arial" w:hAnsi="Arial" w:cs="Arial"/>
          <w:b/>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B12955" w:rsidP="00C4666A">
            <w:pPr>
              <w:pStyle w:val="TAL"/>
              <w:jc w:val="center"/>
              <w:rPr>
                <w:color w:val="FF0000"/>
                <w:lang w:eastAsia="ja-JP"/>
              </w:rPr>
            </w:pPr>
            <w:r>
              <w:rPr>
                <w:color w:val="FF0000"/>
                <w:lang w:eastAsia="ja-JP"/>
              </w:rPr>
              <w:t>NA</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B12955" w:rsidRDefault="00B12955" w:rsidP="00B12955">
      <w:pPr>
        <w:pStyle w:val="Heading2"/>
        <w:rPr>
          <w:lang w:eastAsia="ja-JP"/>
        </w:rPr>
      </w:pPr>
      <w:r>
        <w:rPr>
          <w:lang w:eastAsia="ja-JP"/>
        </w:rPr>
        <w:lastRenderedPageBreak/>
        <w:t>2.1</w:t>
      </w:r>
      <w:r>
        <w:rPr>
          <w:lang w:eastAsia="ja-JP"/>
        </w:rPr>
        <w:tab/>
      </w:r>
      <w:r w:rsidRPr="0003665A">
        <w:rPr>
          <w:rFonts w:hint="eastAsia"/>
          <w:lang w:eastAsia="ja-JP"/>
        </w:rPr>
        <w:t>RAN1</w:t>
      </w:r>
    </w:p>
    <w:p w:rsidR="00B12955" w:rsidRDefault="00B12955" w:rsidP="00B12955">
      <w:pPr>
        <w:pStyle w:val="Heading4"/>
        <w:rPr>
          <w:lang w:eastAsia="ja-JP"/>
        </w:rPr>
      </w:pPr>
      <w:r>
        <w:rPr>
          <w:lang w:eastAsia="ja-JP"/>
        </w:rPr>
        <w:t>2.1.1</w:t>
      </w:r>
      <w:r>
        <w:rPr>
          <w:lang w:eastAsia="ja-JP"/>
        </w:rPr>
        <w:tab/>
        <w:t>Agreements</w:t>
      </w:r>
    </w:p>
    <w:p w:rsidR="00B12955" w:rsidRPr="00D9124A" w:rsidRDefault="00B12955" w:rsidP="00B12955">
      <w:pPr>
        <w:rPr>
          <w:lang w:eastAsia="ja-JP"/>
        </w:rPr>
      </w:pPr>
      <w:r>
        <w:rPr>
          <w:lang w:eastAsia="ja-JP"/>
        </w:rPr>
        <w:t>NA</w:t>
      </w:r>
    </w:p>
    <w:p w:rsidR="00B12955" w:rsidRDefault="00B12955" w:rsidP="00B12955">
      <w:pPr>
        <w:pStyle w:val="Heading4"/>
        <w:rPr>
          <w:lang w:eastAsia="ja-JP"/>
        </w:rPr>
      </w:pPr>
      <w:r>
        <w:rPr>
          <w:lang w:eastAsia="ja-JP"/>
        </w:rPr>
        <w:t>2.1.2</w:t>
      </w:r>
      <w:r>
        <w:rPr>
          <w:lang w:eastAsia="ja-JP"/>
        </w:rPr>
        <w:tab/>
        <w:t>Remaining Open issues</w:t>
      </w:r>
    </w:p>
    <w:p w:rsidR="00B12955" w:rsidRPr="00D9124A" w:rsidRDefault="00B12955" w:rsidP="00B12955">
      <w:pPr>
        <w:rPr>
          <w:lang w:eastAsia="ja-JP"/>
        </w:rPr>
      </w:pPr>
      <w:r>
        <w:rPr>
          <w:lang w:eastAsia="ja-JP"/>
        </w:rPr>
        <w:t>NA</w:t>
      </w:r>
    </w:p>
    <w:p w:rsidR="00B12955" w:rsidRDefault="00B12955" w:rsidP="00B12955">
      <w:pPr>
        <w:pStyle w:val="Heading2"/>
        <w:rPr>
          <w:lang w:eastAsia="ja-JP"/>
        </w:rPr>
      </w:pPr>
      <w:r>
        <w:rPr>
          <w:lang w:eastAsia="ja-JP"/>
        </w:rPr>
        <w:t>2.2</w:t>
      </w:r>
      <w:r>
        <w:rPr>
          <w:lang w:eastAsia="ja-JP"/>
        </w:rPr>
        <w:tab/>
      </w:r>
      <w:r>
        <w:rPr>
          <w:rFonts w:hint="eastAsia"/>
          <w:lang w:eastAsia="ja-JP"/>
        </w:rPr>
        <w:t>RAN2</w:t>
      </w:r>
    </w:p>
    <w:p w:rsidR="00B12955" w:rsidRDefault="00B12955" w:rsidP="00B12955">
      <w:pPr>
        <w:pStyle w:val="Heading4"/>
        <w:rPr>
          <w:lang w:eastAsia="ja-JP"/>
        </w:rPr>
      </w:pPr>
      <w:r>
        <w:rPr>
          <w:lang w:eastAsia="ja-JP"/>
        </w:rPr>
        <w:t>2.2.1</w:t>
      </w:r>
      <w:r>
        <w:rPr>
          <w:lang w:eastAsia="ja-JP"/>
        </w:rPr>
        <w:tab/>
        <w:t>Agreements</w:t>
      </w:r>
    </w:p>
    <w:p w:rsidR="00B12955" w:rsidRPr="00D9124A" w:rsidRDefault="00B12955" w:rsidP="00B12955">
      <w:pPr>
        <w:rPr>
          <w:lang w:eastAsia="ja-JP"/>
        </w:rPr>
      </w:pPr>
      <w:r>
        <w:rPr>
          <w:lang w:eastAsia="ja-JP"/>
        </w:rPr>
        <w:t>NA</w:t>
      </w:r>
    </w:p>
    <w:p w:rsidR="00B12955" w:rsidRDefault="00B12955" w:rsidP="00B12955">
      <w:pPr>
        <w:pStyle w:val="Heading4"/>
        <w:rPr>
          <w:lang w:eastAsia="ja-JP"/>
        </w:rPr>
      </w:pPr>
      <w:r>
        <w:rPr>
          <w:lang w:eastAsia="ja-JP"/>
        </w:rPr>
        <w:t>2.2.2</w:t>
      </w:r>
      <w:r>
        <w:rPr>
          <w:lang w:eastAsia="ja-JP"/>
        </w:rPr>
        <w:tab/>
        <w:t>Remaining Open issues</w:t>
      </w:r>
    </w:p>
    <w:p w:rsidR="00B12955" w:rsidRPr="00D9124A" w:rsidRDefault="00B12955" w:rsidP="00B12955">
      <w:pPr>
        <w:rPr>
          <w:lang w:eastAsia="ja-JP"/>
        </w:rPr>
      </w:pPr>
      <w:r>
        <w:rPr>
          <w:lang w:eastAsia="ja-JP"/>
        </w:rPr>
        <w:t>NA</w:t>
      </w:r>
    </w:p>
    <w:p w:rsidR="00B12955" w:rsidRDefault="00B12955" w:rsidP="00B12955">
      <w:pPr>
        <w:pStyle w:val="Heading2"/>
        <w:rPr>
          <w:lang w:eastAsia="ja-JP"/>
        </w:rPr>
      </w:pPr>
      <w:r>
        <w:rPr>
          <w:lang w:eastAsia="ja-JP"/>
        </w:rPr>
        <w:t>2.3</w:t>
      </w:r>
      <w:r>
        <w:rPr>
          <w:lang w:eastAsia="ja-JP"/>
        </w:rPr>
        <w:tab/>
      </w:r>
      <w:r>
        <w:rPr>
          <w:rFonts w:hint="eastAsia"/>
          <w:lang w:eastAsia="ja-JP"/>
        </w:rPr>
        <w:t>RAN3</w:t>
      </w:r>
    </w:p>
    <w:p w:rsidR="00B12955" w:rsidRDefault="00B12955" w:rsidP="00B12955">
      <w:pPr>
        <w:pStyle w:val="Heading4"/>
        <w:rPr>
          <w:lang w:eastAsia="ja-JP"/>
        </w:rPr>
      </w:pPr>
      <w:r>
        <w:rPr>
          <w:lang w:eastAsia="ja-JP"/>
        </w:rPr>
        <w:t>2.3.1</w:t>
      </w:r>
      <w:r>
        <w:rPr>
          <w:lang w:eastAsia="ja-JP"/>
        </w:rPr>
        <w:tab/>
        <w:t>Agreements</w:t>
      </w:r>
    </w:p>
    <w:p w:rsidR="00B12955" w:rsidRPr="00D9124A" w:rsidRDefault="00B12955" w:rsidP="00B12955">
      <w:pPr>
        <w:rPr>
          <w:lang w:eastAsia="ja-JP"/>
        </w:rPr>
      </w:pPr>
      <w:r>
        <w:rPr>
          <w:lang w:eastAsia="ja-JP"/>
        </w:rPr>
        <w:t>NA</w:t>
      </w:r>
    </w:p>
    <w:p w:rsidR="00B12955" w:rsidRDefault="00B12955" w:rsidP="00B12955">
      <w:pPr>
        <w:pStyle w:val="Heading4"/>
        <w:rPr>
          <w:lang w:eastAsia="ja-JP"/>
        </w:rPr>
      </w:pPr>
      <w:r>
        <w:rPr>
          <w:lang w:eastAsia="ja-JP"/>
        </w:rPr>
        <w:t>2.3.2</w:t>
      </w:r>
      <w:r>
        <w:rPr>
          <w:lang w:eastAsia="ja-JP"/>
        </w:rPr>
        <w:tab/>
        <w:t>Remaining Open issues</w:t>
      </w:r>
    </w:p>
    <w:p w:rsidR="00B12955" w:rsidRPr="00D9124A" w:rsidRDefault="00B12955" w:rsidP="00B12955">
      <w:pPr>
        <w:rPr>
          <w:lang w:eastAsia="ja-JP"/>
        </w:rPr>
      </w:pPr>
      <w:r>
        <w:rPr>
          <w:lang w:eastAsia="ja-JP"/>
        </w:rPr>
        <w:t>NA</w:t>
      </w:r>
    </w:p>
    <w:p w:rsidR="00B12955" w:rsidRDefault="00B12955" w:rsidP="00B12955">
      <w:pPr>
        <w:pStyle w:val="Heading2"/>
        <w:rPr>
          <w:lang w:eastAsia="ja-JP"/>
        </w:rPr>
      </w:pPr>
      <w:r>
        <w:rPr>
          <w:lang w:eastAsia="ja-JP"/>
        </w:rPr>
        <w:t>2.4</w:t>
      </w:r>
      <w:r>
        <w:rPr>
          <w:lang w:eastAsia="ja-JP"/>
        </w:rPr>
        <w:tab/>
      </w:r>
      <w:r>
        <w:rPr>
          <w:rFonts w:hint="eastAsia"/>
          <w:lang w:eastAsia="ja-JP"/>
        </w:rPr>
        <w:t>RAN4</w:t>
      </w:r>
    </w:p>
    <w:p w:rsidR="00B12955" w:rsidRDefault="00B12955" w:rsidP="00B12955">
      <w:pPr>
        <w:pStyle w:val="Heading4"/>
        <w:rPr>
          <w:lang w:eastAsia="ja-JP"/>
        </w:rPr>
      </w:pPr>
      <w:r>
        <w:rPr>
          <w:lang w:eastAsia="ja-JP"/>
        </w:rPr>
        <w:t>2.4.1</w:t>
      </w:r>
      <w:r>
        <w:rPr>
          <w:lang w:eastAsia="ja-JP"/>
        </w:rPr>
        <w:tab/>
        <w:t>Agreements</w:t>
      </w:r>
    </w:p>
    <w:p w:rsidR="00B12955" w:rsidRPr="00D9124A" w:rsidRDefault="00B12955" w:rsidP="00B12955">
      <w:pPr>
        <w:rPr>
          <w:lang w:eastAsia="ja-JP"/>
        </w:rPr>
      </w:pPr>
      <w:r>
        <w:rPr>
          <w:lang w:eastAsia="ja-JP"/>
        </w:rPr>
        <w:t>NA</w:t>
      </w:r>
    </w:p>
    <w:p w:rsidR="00B12955" w:rsidRDefault="00B12955" w:rsidP="00B12955">
      <w:pPr>
        <w:pStyle w:val="Heading4"/>
        <w:rPr>
          <w:lang w:eastAsia="ja-JP"/>
        </w:rPr>
      </w:pPr>
      <w:r>
        <w:rPr>
          <w:lang w:eastAsia="ja-JP"/>
        </w:rPr>
        <w:t>2.4.2</w:t>
      </w:r>
      <w:r>
        <w:rPr>
          <w:lang w:eastAsia="ja-JP"/>
        </w:rPr>
        <w:tab/>
        <w:t>Remaining Open issues</w:t>
      </w:r>
    </w:p>
    <w:p w:rsidR="00B12955" w:rsidRPr="00D9124A" w:rsidRDefault="00B12955" w:rsidP="00B12955">
      <w:pPr>
        <w:rPr>
          <w:lang w:eastAsia="ja-JP"/>
        </w:rPr>
      </w:pPr>
      <w:r>
        <w:rPr>
          <w:lang w:eastAsia="ja-JP"/>
        </w:rPr>
        <w:t>NA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B12955" w:rsidRDefault="00B12955" w:rsidP="00B12955">
      <w:pPr>
        <w:rPr>
          <w:lang w:eastAsia="ja-JP"/>
        </w:rPr>
      </w:pPr>
      <w:r>
        <w:rPr>
          <w:lang w:eastAsia="ja-JP"/>
        </w:rPr>
        <w:t xml:space="preserve">This work item started with RAN5#89. Most of the progress made at this meeting was in determining if existing items from </w:t>
      </w:r>
      <w:r w:rsidR="00500907">
        <w:rPr>
          <w:lang w:eastAsia="ja-JP"/>
        </w:rPr>
        <w:t xml:space="preserve">3GPP Release 14 needed changes for 3GPP Release 15. Additionally, there were many new generic test procedures added in TS 36.579-1 at this meeting. Overall, there were 30 Tdocs at this meeting associated with this work item (see clause 4 References below). Outside of the 30 Tdocs, there were some liaison statements sent to CT1 asking for clarifications in the core specifications. </w:t>
      </w:r>
    </w:p>
    <w:p w:rsidR="00500907" w:rsidRPr="00B12955" w:rsidRDefault="00500907" w:rsidP="00B12955">
      <w:pPr>
        <w:rPr>
          <w:lang w:eastAsia="ja-JP"/>
        </w:rPr>
      </w:pPr>
      <w:r>
        <w:rPr>
          <w:lang w:eastAsia="ja-JP"/>
        </w:rPr>
        <w:t>The work item is on schedule and no special action is needed.</w:t>
      </w:r>
    </w:p>
    <w:p w:rsidR="00815869" w:rsidRDefault="00815869" w:rsidP="00815869">
      <w:pPr>
        <w:pStyle w:val="Heading4"/>
        <w:rPr>
          <w:lang w:eastAsia="ja-JP"/>
        </w:rPr>
      </w:pPr>
      <w:r>
        <w:rPr>
          <w:lang w:eastAsia="ja-JP"/>
        </w:rPr>
        <w:t>2.5.2</w:t>
      </w:r>
      <w:r>
        <w:rPr>
          <w:lang w:eastAsia="ja-JP"/>
        </w:rPr>
        <w:tab/>
        <w:t>Remaining Open issues</w:t>
      </w:r>
    </w:p>
    <w:p w:rsidR="00500907" w:rsidRPr="00500907" w:rsidRDefault="00500907" w:rsidP="00500907">
      <w:pPr>
        <w:rPr>
          <w:lang w:eastAsia="ja-JP"/>
        </w:rPr>
      </w:pPr>
      <w:r>
        <w:rPr>
          <w:lang w:eastAsia="ja-JP"/>
        </w:rPr>
        <w:t>None.</w:t>
      </w:r>
    </w:p>
    <w:p w:rsidR="00815869" w:rsidRDefault="00815869" w:rsidP="00E5792E">
      <w:pPr>
        <w:pStyle w:val="Heading4"/>
        <w:rPr>
          <w:lang w:eastAsia="ja-JP"/>
        </w:rPr>
      </w:pPr>
      <w:r>
        <w:rPr>
          <w:lang w:eastAsia="ja-JP"/>
        </w:rPr>
        <w:lastRenderedPageBreak/>
        <w:t>2.5.3</w:t>
      </w:r>
      <w:r>
        <w:rPr>
          <w:lang w:eastAsia="ja-JP"/>
        </w:rPr>
        <w:tab/>
        <w:t>Remaining Open issues with cross-WG dependencies</w:t>
      </w:r>
    </w:p>
    <w:p w:rsidR="00500907" w:rsidRPr="00500907" w:rsidRDefault="00500907" w:rsidP="00500907">
      <w:pPr>
        <w:rPr>
          <w:lang w:eastAsia="ja-JP"/>
        </w:rPr>
      </w:pPr>
      <w:r>
        <w:rPr>
          <w:lang w:eastAsia="ja-JP"/>
        </w:rPr>
        <w:t>None.</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 R5-206422 - Update of MCPTT Floor Control Messages for Rel-15</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 R5-206423 - MCPTT Configuration Doc Update for Rel-15 Location</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[3] R5-206445 - Correction to Generic Test Procedure for MCPTT pre-established session establishment CO</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[4] R5-206446 - Correction to MCPTT Common Procedures for CT/CO session establishment</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[5] R5-206447 - New MCPTT generic test procedures</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[6] R5-206448 - Update to Default Message Content</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[7] R5-206449 - Updates for Group Communications Key retrieval</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[8] R5-206450 - Second group configuration retrieval process modification</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[9] R5-206053 - PIDF body modifications</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[10] R5-206451 - Existing Generic Test Procedures Updates</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[11] R5-206084 - Condition updates for default MCS configuration management messages</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[12] R5-206108 - Update of MCPTT Floor Control Messages for Rel-14</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[13] R5-206452 - Update of MCPTT TC 6.2.8</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[14] R5-206453 - Update of MCPTT TC 6.2.11</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[15] R5-206454 - Update of MCPTT TC 6.2.16</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[16] R5-206455 - Update of MCPTT TC 6.2.17</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[17] R5-206456 - Update of MCPTT TC 7.2.1</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[18] R5-206457 - Correction to MCPTT Test Case 6.1.1.1</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[19] R5-206458 - Correction to MCPTT Test Case 6.1.1.11</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[20] R5-206459 - Correction to MCPTT Test Case 6.1.1.13</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[21] R5-206460 - Correction to MCPTT Test Case 6.1.1.2</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[22] R5-206461 - Correction to MCPTT Test Case 6.1.1.4</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[23] R5-206462 - Correction to MCPTT Test Case 6.1.1.7</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[24] R5-206463 - 5.3 Test case corrections</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[25] R5-206464 - Update of MCPTT TC 6.1.1.3</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[26] R5-206465 - Routine maintenance for TS 36.579-5</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[27] R5-206466 - Update of MCDATA TC 6.1.2</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lastRenderedPageBreak/>
        <w:t>[28] R5-206467 - Update of MCDATA TC 6.2.1</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[29] R5-206081 - SR - UE Conformance Test Aspects - Enhancements for Mission Critical Services MCPTT, MCData and MCVideo (UID - 890042) MCenhUEConTest</w:t>
      </w:r>
    </w:p>
    <w:p w:rsidR="003E3A1A"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[30] R5-206082 - WP - UE Conformance Test Aspects - Enhancements for Mission Critical Services MCPTT, MCData and MCVideo (UID - 890042) MCenhUEConTest</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526C" w:rsidRDefault="006E526C">
      <w:r>
        <w:separator/>
      </w:r>
    </w:p>
  </w:endnote>
  <w:endnote w:type="continuationSeparator" w:id="0">
    <w:p w:rsidR="006E526C" w:rsidRDefault="006E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526C" w:rsidRDefault="006E526C">
      <w:r>
        <w:separator/>
      </w:r>
    </w:p>
  </w:footnote>
  <w:footnote w:type="continuationSeparator" w:id="0">
    <w:p w:rsidR="006E526C" w:rsidRDefault="006E5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177"/>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0907"/>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37BF"/>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12955"/>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4112"/>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952C69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B1295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060080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59397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4136</TotalTime>
  <Pages>4</Pages>
  <Words>1170</Words>
  <Characters>6283</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3</cp:revision>
  <dcterms:created xsi:type="dcterms:W3CDTF">2020-11-28T15:54:00Z</dcterms:created>
  <dcterms:modified xsi:type="dcterms:W3CDTF">2020-11-28T15:54:00Z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